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</w:pPr>
      <w:r>
        <w:rPr>
          <w:rFonts w:ascii="Arial" w:hAnsi="Arial"/>
          <w:b/>
          <w:i w:val="0"/>
          <w:sz w:val="52"/>
        </w:rPr>
        <w:t>Eugene Syromiatnykov</w:t>
      </w:r>
    </w:p>
    <w:p>
      <w:pPr>
        <w:spacing w:after="60"/>
      </w:pPr>
      <w:r>
        <w:rPr>
          <w:rFonts w:ascii="Arial" w:hAnsi="Arial"/>
          <w:b w:val="0"/>
          <w:i w:val="0"/>
          <w:color w:val="1F3864"/>
          <w:sz w:val="25"/>
        </w:rPr>
        <w:t>Business Analyst — Healthcare / Clinical Software</w:t>
      </w:r>
    </w:p>
    <w:p>
      <w:pPr>
        <w:spacing w:after="40"/>
      </w:pPr>
      <w:r>
        <w:rPr>
          <w:rFonts w:ascii="Arial" w:hAnsi="Arial"/>
          <w:b w:val="0"/>
          <w:i w:val="0"/>
          <w:color w:val="555555"/>
          <w:sz w:val="18"/>
        </w:rPr>
        <w:t xml:space="preserve">Khmelnytskyi region, Ukraine  ·  Open to remote · Kyiv / Chernihiv  ·  </w:t>
      </w:r>
      <w:hyperlink r:id="rId9">
        <w:r>
          <w:rPr>
            <w:rFonts w:ascii="Arial" w:hAnsi="Arial"/>
            <w:color w:val="0563C1"/>
            <w:sz w:val="18"/>
            <w:u w:val="single"/>
          </w:rPr>
          <w:t xml:space="preserve">eugene.syro.builds@gmail.com</w:t>
        </w:r>
      </w:hyperlink>
    </w:p>
    <w:p>
      <w:pPr>
        <w:spacing w:after="60"/>
      </w:pPr>
      <w:r>
        <w:rPr>
          <w:rFonts w:ascii="Arial" w:hAnsi="Arial"/>
          <w:b w:val="0"/>
          <w:i w:val="0"/>
          <w:color w:val="555555"/>
          <w:sz w:val="18"/>
        </w:rPr>
        <w:t xml:space="preserve">+38 093 456 39 82  ·  </w:t>
      </w:r>
      <w:hyperlink r:id="rId10">
        <w:r>
          <w:rPr>
            <w:rFonts w:ascii="Arial" w:hAnsi="Arial"/>
            <w:color w:val="0563C1"/>
            <w:sz w:val="18"/>
            <w:u w:val="single"/>
          </w:rPr>
          <w:t xml:space="preserve">Portfolio</w:t>
        </w:r>
      </w:hyperlink>
      <w:r>
        <w:rPr>
          <w:rFonts w:ascii="Arial" w:hAnsi="Arial"/>
          <w:b w:val="0"/>
          <w:i w:val="0"/>
          <w:color w:val="555555"/>
          <w:sz w:val="18"/>
        </w:rPr>
        <w:t xml:space="preserve">  ·  </w:t>
      </w:r>
      <w:hyperlink r:id="rId11">
        <w:r>
          <w:rPr>
            <w:rFonts w:ascii="Arial" w:hAnsi="Arial"/>
            <w:color w:val="0563C1"/>
            <w:sz w:val="18"/>
            <w:u w:val="single"/>
          </w:rPr>
          <w:t xml:space="preserve">LinkedIn</w:t>
        </w:r>
      </w:hyperlink>
      <w:r>
        <w:rPr>
          <w:rFonts w:ascii="Arial" w:hAnsi="Arial"/>
          <w:b w:val="0"/>
          <w:i w:val="0"/>
          <w:color w:val="555555"/>
          <w:sz w:val="18"/>
        </w:rPr>
        <w:t xml:space="preserve">  ·  English C2 (EF SET)</w:t>
      </w:r>
    </w:p>
    <w:p>
      <w:pPr>
        <w:spacing w:before="180" w:after="70"/>
        <w:pBdr>
          <w:bottom w:val="single" w:sz="6" w:space="2" w:color="1F3864"/>
        </w:pBdr>
      </w:pPr>
      <w:r>
        <w:rPr>
          <w:rFonts w:ascii="Arial" w:hAnsi="Arial"/>
          <w:b/>
          <w:i w:val="0"/>
          <w:color w:val="1F3864"/>
          <w:sz w:val="23"/>
        </w:rPr>
        <w:t>SUMMARY</w:t>
      </w:r>
    </w:p>
    <w:p>
      <w:pPr>
        <w:spacing w:after="60" w:before="0"/>
      </w:pPr>
      <w:r>
        <w:rPr>
          <w:rFonts w:ascii="Arial" w:hAnsi="Arial"/>
          <w:b w:val="0"/>
          <w:i w:val="0"/>
          <w:sz w:val="20"/>
        </w:rPr>
        <w:t>Practicing family physician (head of a rural outpatient clinic, 1,828 patient declarations) who in parallel designs and ships production healthcare software through AI-assisted development. I own the product, domain, and clinical-accuracy decisions; AI handles implementation. Deep working knowledge of Ukrainian primary care — PHC quality indicators, eHealth (ЕСОЗ), ICPC-2 / ICD-10 / LOINC, MoH order #504, clinic-level NSZU reporting — and the lived reality of how doctors actually use EMRs. I haven’t held a “Business Analyst” title, but eliciting requirements, modeling processes, and shipping the systems is the work I’ve been doing. Now moving to do it full-time.</w:t>
      </w:r>
    </w:p>
    <w:p>
      <w:pPr>
        <w:spacing w:before="180" w:after="70"/>
        <w:pBdr>
          <w:bottom w:val="single" w:sz="6" w:space="2" w:color="1F3864"/>
        </w:pBdr>
      </w:pPr>
      <w:r>
        <w:rPr>
          <w:rFonts w:ascii="Arial" w:hAnsi="Arial"/>
          <w:b/>
          <w:i w:val="0"/>
          <w:color w:val="1F3864"/>
          <w:sz w:val="23"/>
        </w:rPr>
        <w:t>SELECTED PROJECTS</w:t>
      </w:r>
    </w:p>
    <w:p>
      <w:pPr>
        <w:spacing w:after="20" w:before="80"/>
      </w:pPr>
      <w:r>
        <w:rPr>
          <w:rFonts w:ascii="Arial" w:hAnsi="Arial"/>
          <w:b/>
          <w:i w:val="0"/>
          <w:sz w:val="20"/>
        </w:rPr>
        <w:t>Quality-Indicator Extension — Ukrainian primary-care EMR</w:t>
      </w:r>
    </w:p>
    <w:p>
      <w:pPr>
        <w:pStyle w:val="ListBullet"/>
        <w:spacing w:after="30"/>
        <w:ind w:left="180" w:hanging="100"/>
      </w:pPr>
      <w:r>
        <w:rPr>
          <w:rFonts w:ascii="Arial" w:hAnsi="Arial"/>
          <w:b w:val="0"/>
          <w:i w:val="0"/>
          <w:sz w:val="20"/>
        </w:rPr>
        <w:t>Chrome extension that overlays on Ukraine’s national primary-care EMR and checks each patient’s record against 13 PHC quality indicators (cancer screenings, CV risk, TB, HIV, preventive exams) in real time, via a rule engine over ICPC-2 / ICD-10 / LOINC codes — no LLM in clinical logic by design (auditable, explainable).</w:t>
      </w:r>
    </w:p>
    <w:p>
      <w:pPr>
        <w:pStyle w:val="ListBullet"/>
        <w:spacing w:after="30"/>
        <w:ind w:left="180" w:hanging="100"/>
      </w:pPr>
      <w:r>
        <w:rPr>
          <w:rFonts w:ascii="Arial" w:hAnsi="Arial"/>
          <w:b w:val="0"/>
          <w:i w:val="0"/>
          <w:sz w:val="20"/>
        </w:rPr>
        <w:t>In daily use by 6 physicians at my clinic. In the adopter cohort, colorectal-cancer screening referrals rose ×28 over Jan–May 2026 versus a flat control group of non-adopting colleagues on the same EMR (verified against NSZU performance reports); the CV-risk indicator stayed stable — improved one outcome without regressing established practice.</w:t>
      </w:r>
    </w:p>
    <w:p>
      <w:pPr>
        <w:pStyle w:val="ListBullet"/>
        <w:spacing w:after="30"/>
        <w:ind w:left="180" w:hanging="100"/>
      </w:pPr>
      <w:r>
        <w:rPr>
          <w:rFonts w:ascii="Arial" w:hAnsi="Arial"/>
          <w:b w:val="0"/>
          <w:i w:val="0"/>
          <w:sz w:val="20"/>
        </w:rPr>
        <w:t>Defined the indicator logic against MoH regulations; rule-based matcher, ~3,800 LOC. Built through AI.</w:t>
      </w:r>
    </w:p>
    <w:p>
      <w:pPr>
        <w:spacing w:after="20" w:before="80"/>
      </w:pPr>
      <w:r>
        <w:rPr>
          <w:rFonts w:ascii="Arial" w:hAnsi="Arial"/>
          <w:b/>
          <w:i w:val="0"/>
          <w:sz w:val="20"/>
        </w:rPr>
        <w:t>TB Documentation Module — paper workflow → working clinical system</w:t>
      </w:r>
    </w:p>
    <w:p>
      <w:pPr>
        <w:pStyle w:val="ListBullet"/>
        <w:spacing w:after="30"/>
        <w:ind w:left="180" w:hanging="100"/>
      </w:pPr>
      <w:r>
        <w:rPr>
          <w:rFonts w:ascii="Arial" w:hAnsi="Arial"/>
          <w:b w:val="0"/>
          <w:i w:val="0"/>
          <w:sz w:val="20"/>
        </w:rPr>
        <w:t>Replaced a paper/Excel TB-screening workflow at my clinic (28 risk-group sheets, a fluorography file for ~1,100 patients per location, WHO 4-symptom screening) with a full web module: patient registry with risk groups and TB status, fluorography history with auto-scheduled next-due dates, sputum-test tracking, auto-generated referrals, EMR sync.</w:t>
      </w:r>
    </w:p>
    <w:p>
      <w:pPr>
        <w:pStyle w:val="ListBullet"/>
        <w:spacing w:after="30"/>
        <w:ind w:left="180" w:hanging="100"/>
      </w:pPr>
      <w:r>
        <w:rPr>
          <w:rFonts w:ascii="Arial" w:hAnsi="Arial"/>
          <w:b w:val="0"/>
          <w:i w:val="0"/>
          <w:sz w:val="20"/>
        </w:rPr>
        <w:t>Defined the requirements by mapping the real clinical workflow; described them with user stories and BPMN diagrams. Integrated with the quality-indicator extension so diagnoses and fluorography dates flow in automatically.</w:t>
      </w:r>
    </w:p>
    <w:p>
      <w:pPr>
        <w:pStyle w:val="ListBullet"/>
        <w:spacing w:after="30"/>
        <w:ind w:left="180" w:hanging="100"/>
      </w:pPr>
      <w:r>
        <w:rPr>
          <w:rFonts w:ascii="Arial" w:hAnsi="Arial"/>
          <w:b w:val="0"/>
          <w:i w:val="0"/>
          <w:sz w:val="20"/>
        </w:rPr>
        <w:t>Built through AI. Adopted at the clinic where I practice.</w:t>
      </w:r>
    </w:p>
    <w:p>
      <w:pPr>
        <w:spacing w:after="20" w:before="80"/>
      </w:pPr>
      <w:r>
        <w:rPr>
          <w:rFonts w:ascii="Arial" w:hAnsi="Arial"/>
          <w:b/>
          <w:i w:val="0"/>
          <w:sz w:val="20"/>
        </w:rPr>
        <w:t>Multi-tenant platform — AI video production agency (via DevBrother)</w:t>
      </w:r>
    </w:p>
    <w:p>
      <w:pPr>
        <w:pStyle w:val="ListBullet"/>
        <w:spacing w:after="30"/>
        <w:ind w:left="180" w:hanging="100"/>
      </w:pPr>
      <w:r>
        <w:rPr>
          <w:rFonts w:ascii="Arial" w:hAnsi="Arial"/>
          <w:b w:val="0"/>
          <w:i w:val="0"/>
          <w:sz w:val="20"/>
        </w:rPr>
        <w:t>Sole engineer on a multi-tenant SaaS for an AI video production agency (contract via DevBrother): AI test-assignment matcher (Gemini), order-intake chatbot, multi-tenant studios with capability-based permissions, real-time chat, project kanban, client portal, audit trail.</w:t>
      </w:r>
    </w:p>
    <w:p>
      <w:pPr>
        <w:pStyle w:val="ListBullet"/>
        <w:spacing w:after="30"/>
        <w:ind w:left="180" w:hanging="100"/>
      </w:pPr>
      <w:r>
        <w:rPr>
          <w:rFonts w:ascii="Arial" w:hAnsi="Arial"/>
          <w:b w:val="0"/>
          <w:i w:val="0"/>
          <w:sz w:val="20"/>
        </w:rPr>
        <w:t>Restructured the team’s flat “1 project = 1 video” model into a hierarchical client → project → task model matching how the business operates.</w:t>
      </w:r>
    </w:p>
    <w:p>
      <w:pPr>
        <w:pStyle w:val="ListBullet"/>
        <w:spacing w:after="30"/>
        <w:ind w:left="180" w:hanging="100"/>
      </w:pPr>
      <w:r>
        <w:rPr>
          <w:rFonts w:ascii="Arial" w:hAnsi="Arial"/>
          <w:b w:val="0"/>
          <w:i w:val="0"/>
          <w:sz w:val="20"/>
        </w:rPr>
        <w:t>~180 commits in 7 weeks; first full revenue month $1,752 client revenue at 59% gross margin. Next.js + Supabase + Vercel. Built through AI.</w:t>
      </w:r>
    </w:p>
    <w:p>
      <w:pPr>
        <w:spacing w:after="20" w:before="80"/>
      </w:pPr>
      <w:r>
        <w:rPr>
          <w:rFonts w:ascii="Arial" w:hAnsi="Arial"/>
          <w:b/>
          <w:i w:val="0"/>
          <w:sz w:val="20"/>
        </w:rPr>
        <w:t>Pre-Trip Driver Medical Checkups — USB device reconciliation</w:t>
      </w:r>
    </w:p>
    <w:p>
      <w:pPr>
        <w:pStyle w:val="ListBullet"/>
        <w:spacing w:after="30"/>
        <w:ind w:left="180" w:hanging="100"/>
      </w:pPr>
      <w:r>
        <w:rPr>
          <w:rFonts w:ascii="Arial" w:hAnsi="Arial"/>
          <w:b w:val="0"/>
          <w:i w:val="0"/>
          <w:sz w:val="20"/>
        </w:rPr>
        <w:t>Production three-tier system (Python/FastAPI + React + Electron USB agent) for digital pre-trip medical screening of commercial drivers.</w:t>
      </w:r>
    </w:p>
    <w:p>
      <w:pPr>
        <w:pStyle w:val="ListBullet"/>
        <w:spacing w:after="30"/>
        <w:ind w:left="180" w:hanging="100"/>
      </w:pPr>
      <w:r>
        <w:rPr>
          <w:rFonts w:ascii="Arial" w:hAnsi="Arial"/>
          <w:b w:val="0"/>
          <w:i w:val="0"/>
          <w:sz w:val="20"/>
        </w:rPr>
        <w:t>Reverse-engineered the Drager iBlow 10 breathalyzer’s USB protocol with a Windows sniffer; time-windowed reconciliation between medic-entered exams and the device’s onboard memory. AES-256-GCM on medical fields, JWT auth, JKS-signed PDFs, row-level multi-tenancy.</w:t>
      </w:r>
    </w:p>
    <w:p>
      <w:pPr>
        <w:pStyle w:val="ListBullet"/>
        <w:spacing w:after="30"/>
        <w:ind w:left="180" w:hanging="100"/>
      </w:pPr>
      <w:r>
        <w:rPr>
          <w:rFonts w:ascii="Arial" w:hAnsi="Arial"/>
          <w:b w:val="0"/>
          <w:i w:val="0"/>
          <w:sz w:val="20"/>
        </w:rPr>
        <w:t>Functional in production; pending regulatory approval to legally replace the paper journal.</w:t>
      </w:r>
    </w:p>
    <w:p>
      <w:pPr>
        <w:spacing w:before="180" w:after="70"/>
        <w:pBdr>
          <w:bottom w:val="single" w:sz="6" w:space="2" w:color="1F3864"/>
        </w:pBdr>
      </w:pPr>
      <w:r>
        <w:rPr>
          <w:rFonts w:ascii="Arial" w:hAnsi="Arial"/>
          <w:b/>
          <w:i w:val="0"/>
          <w:color w:val="1F3864"/>
          <w:sz w:val="23"/>
        </w:rPr>
        <w:t>EXPERIENCE</w:t>
      </w:r>
    </w:p>
    <w:p>
      <w:pPr>
        <w:tabs>
          <w:tab w:pos="10080" w:val="right"/>
        </w:tabs>
        <w:spacing w:before="90" w:after="20"/>
      </w:pPr>
      <w:r>
        <w:rPr>
          <w:rFonts w:ascii="Arial" w:hAnsi="Arial"/>
          <w:b/>
          <w:i w:val="0"/>
          <w:sz w:val="21"/>
        </w:rPr>
        <w:t>Head of Outpatient Clinic / Family Physician</w:t>
      </w:r>
      <w:r>
        <w:rPr>
          <w:rFonts w:ascii="Arial" w:hAnsi="Arial"/>
          <w:b w:val="0"/>
          <w:i w:val="0"/>
          <w:sz w:val="21"/>
        </w:rPr>
        <w:t xml:space="preserve">  —  Bilohirya PHC Center</w:t>
      </w:r>
      <w:r>
        <w:rPr>
          <w:rFonts w:ascii="Arial" w:hAnsi="Arial"/>
          <w:b w:val="0"/>
          <w:i w:val="0"/>
          <w:color w:val="555555"/>
          <w:sz w:val="19"/>
        </w:rPr>
        <w:tab/>
        <w:t>Sep 2024 – Present</w:t>
      </w:r>
    </w:p>
    <w:p>
      <w:pPr>
        <w:pStyle w:val="ListBullet"/>
        <w:spacing w:after="30"/>
        <w:ind w:left="180" w:hanging="100"/>
      </w:pPr>
      <w:r>
        <w:rPr>
          <w:rFonts w:ascii="Arial" w:hAnsi="Arial"/>
          <w:b w:val="0"/>
          <w:i w:val="0"/>
          <w:sz w:val="20"/>
        </w:rPr>
        <w:t>Manage 1,828 patient declarations across two clinic locations; full clinic-level NSZU reporting (monthly/quarterly forms, PHC quality-indicator compliance, preventive exams for 40–64 and 65+).</w:t>
      </w:r>
    </w:p>
    <w:p>
      <w:pPr>
        <w:pStyle w:val="ListBullet"/>
        <w:spacing w:after="30"/>
        <w:ind w:left="180" w:hanging="100"/>
      </w:pPr>
      <w:r>
        <w:rPr>
          <w:rFonts w:ascii="Arial" w:hAnsi="Arial"/>
          <w:b w:val="0"/>
          <w:i w:val="0"/>
          <w:sz w:val="20"/>
        </w:rPr>
        <w:t>Daily work in eHealth (ЕСОЗ) via the EMR — declarations, e-prescriptions, referrals, electronic records; clinic operations and nursing supervision.</w:t>
      </w:r>
    </w:p>
    <w:p>
      <w:pPr>
        <w:pStyle w:val="ListBullet"/>
        <w:spacing w:after="30"/>
        <w:ind w:left="180" w:hanging="100"/>
      </w:pPr>
      <w:r>
        <w:rPr>
          <w:rFonts w:ascii="Arial" w:hAnsi="Arial"/>
          <w:b w:val="0"/>
          <w:i w:val="0"/>
          <w:sz w:val="20"/>
        </w:rPr>
        <w:t>In parallel, designed and shipped the clinical tools above — now the de facto standard for 6 physicians at the clinic.</w:t>
      </w:r>
    </w:p>
    <w:p>
      <w:pPr>
        <w:tabs>
          <w:tab w:pos="10080" w:val="right"/>
        </w:tabs>
        <w:spacing w:before="90" w:after="20"/>
      </w:pPr>
      <w:r>
        <w:rPr>
          <w:rFonts w:ascii="Arial" w:hAnsi="Arial"/>
          <w:b/>
          <w:i w:val="0"/>
          <w:sz w:val="21"/>
        </w:rPr>
        <w:t>Business Development &amp; Operations</w:t>
      </w:r>
      <w:r>
        <w:rPr>
          <w:rFonts w:ascii="Arial" w:hAnsi="Arial"/>
          <w:b w:val="0"/>
          <w:i w:val="0"/>
          <w:sz w:val="21"/>
        </w:rPr>
        <w:t xml:space="preserve">  —  DevBrother (AI video production agency)</w:t>
      </w:r>
      <w:r>
        <w:rPr>
          <w:rFonts w:ascii="Arial" w:hAnsi="Arial"/>
          <w:b w:val="0"/>
          <w:i w:val="0"/>
          <w:color w:val="555555"/>
          <w:sz w:val="19"/>
        </w:rPr>
        <w:tab/>
        <w:t>Jan 2026 – Present</w:t>
      </w:r>
    </w:p>
    <w:p>
      <w:pPr>
        <w:pStyle w:val="ListBullet"/>
        <w:spacing w:after="30"/>
        <w:ind w:left="180" w:hanging="100"/>
      </w:pPr>
      <w:r>
        <w:rPr>
          <w:rFonts w:ascii="Arial" w:hAnsi="Arial"/>
          <w:b w:val="0"/>
          <w:i w:val="0"/>
          <w:sz w:val="20"/>
        </w:rPr>
        <w:t>Run the engagement end-to-end (client acquisition, contractor sourcing, task tracking, payout reporting, client communication) and served as sole engineer on the internal multi-tenant platform above.</w:t>
      </w:r>
    </w:p>
    <w:p>
      <w:pPr>
        <w:tabs>
          <w:tab w:pos="10080" w:val="right"/>
        </w:tabs>
        <w:spacing w:before="90" w:after="20"/>
      </w:pPr>
      <w:r>
        <w:rPr>
          <w:rFonts w:ascii="Arial" w:hAnsi="Arial"/>
          <w:b/>
          <w:i w:val="0"/>
          <w:sz w:val="21"/>
        </w:rPr>
        <w:t>Co-founder &amp; Operations</w:t>
      </w:r>
      <w:r>
        <w:rPr>
          <w:rFonts w:ascii="Arial" w:hAnsi="Arial"/>
          <w:b w:val="0"/>
          <w:i w:val="0"/>
          <w:sz w:val="21"/>
        </w:rPr>
        <w:t xml:space="preserve">  —  Anna Writes (content studio)</w:t>
      </w:r>
      <w:r>
        <w:rPr>
          <w:rFonts w:ascii="Arial" w:hAnsi="Arial"/>
          <w:b w:val="0"/>
          <w:i w:val="0"/>
          <w:color w:val="555555"/>
          <w:sz w:val="19"/>
        </w:rPr>
        <w:tab/>
        <w:t>Dec 2023 – Nov 2024</w:t>
      </w:r>
    </w:p>
    <w:p>
      <w:pPr>
        <w:pStyle w:val="ListBullet"/>
        <w:spacing w:after="30"/>
        <w:ind w:left="180" w:hanging="100"/>
      </w:pPr>
      <w:r>
        <w:rPr>
          <w:rFonts w:ascii="Arial" w:hAnsi="Arial"/>
          <w:b w:val="0"/>
          <w:i w:val="0"/>
          <w:sz w:val="20"/>
        </w:rPr>
        <w:t>Set up the operation end-to-end — client acquisition via Upwork, the website, and the social presence — from zero.</w:t>
      </w:r>
    </w:p>
    <w:p>
      <w:pPr>
        <w:pStyle w:val="ListBullet"/>
        <w:spacing w:after="30"/>
        <w:ind w:left="180" w:hanging="100"/>
      </w:pPr>
      <w:r>
        <w:rPr>
          <w:rFonts w:ascii="Arial" w:hAnsi="Arial"/>
          <w:b w:val="0"/>
          <w:i w:val="0"/>
          <w:sz w:val="20"/>
        </w:rPr>
        <w:t>Built a lightweight CRM and task-tracking system on Google Sheets, modeled on the actual client workflow (intake → delivery → follow-up), and ran client coordination on it.</w:t>
      </w:r>
    </w:p>
    <w:p>
      <w:pPr>
        <w:tabs>
          <w:tab w:pos="10080" w:val="right"/>
        </w:tabs>
        <w:spacing w:before="90" w:after="20"/>
      </w:pPr>
      <w:r>
        <w:rPr>
          <w:rFonts w:ascii="Arial" w:hAnsi="Arial"/>
          <w:b/>
          <w:i w:val="0"/>
          <w:sz w:val="21"/>
        </w:rPr>
        <w:t>Business Development / Requirements</w:t>
      </w:r>
      <w:r>
        <w:rPr>
          <w:rFonts w:ascii="Arial" w:hAnsi="Arial"/>
          <w:b w:val="0"/>
          <w:i w:val="0"/>
          <w:sz w:val="21"/>
        </w:rPr>
        <w:t xml:space="preserve">  —  Vasterra (custom software agency)</w:t>
      </w:r>
      <w:r>
        <w:rPr>
          <w:rFonts w:ascii="Arial" w:hAnsi="Arial"/>
          <w:b w:val="0"/>
          <w:i w:val="0"/>
          <w:color w:val="555555"/>
          <w:sz w:val="19"/>
        </w:rPr>
        <w:tab/>
        <w:t>Mar 2020 – Dec 2023</w:t>
      </w:r>
    </w:p>
    <w:p>
      <w:pPr>
        <w:pStyle w:val="ListBullet"/>
        <w:spacing w:after="30"/>
        <w:ind w:left="180" w:hanging="100"/>
      </w:pPr>
      <w:r>
        <w:rPr>
          <w:rFonts w:ascii="Arial" w:hAnsi="Arial"/>
          <w:b w:val="0"/>
          <w:i w:val="0"/>
          <w:sz w:val="20"/>
        </w:rPr>
        <w:t>Closed $220,000+ in revenue over 3.5 years (avg deal ~$6,500, flagship $70,000+) via LinkedIn + Upwork outbound (Sales Navigator, LinkedHelper, Clay, Apollo); grew the returning-client base from 8 to 12.</w:t>
      </w:r>
    </w:p>
    <w:p>
      <w:pPr>
        <w:pStyle w:val="ListBullet"/>
        <w:spacing w:after="30"/>
        <w:ind w:left="180" w:hanging="100"/>
      </w:pPr>
      <w:r>
        <w:rPr>
          <w:rFonts w:ascii="Arial" w:hAnsi="Arial"/>
          <w:b w:val="0"/>
          <w:i w:val="0"/>
          <w:sz w:val="20"/>
        </w:rPr>
        <w:t>Client discovery and requirements gathering for custom software across 10+ industries; coordinated delivery between clients and engineering teams.</w:t>
      </w:r>
    </w:p>
    <w:p>
      <w:pPr>
        <w:spacing w:before="180" w:after="70"/>
        <w:pBdr>
          <w:bottom w:val="single" w:sz="6" w:space="2" w:color="1F3864"/>
        </w:pBdr>
      </w:pPr>
      <w:r>
        <w:rPr>
          <w:rFonts w:ascii="Arial" w:hAnsi="Arial"/>
          <w:b/>
          <w:i w:val="0"/>
          <w:color w:val="1F3864"/>
          <w:sz w:val="23"/>
        </w:rPr>
        <w:t>SKILLS</w:t>
      </w:r>
    </w:p>
    <w:p>
      <w:pPr>
        <w:spacing w:after="60"/>
      </w:pPr>
      <w:r>
        <w:rPr>
          <w:rFonts w:ascii="Arial" w:hAnsi="Arial"/>
          <w:b/>
          <w:i w:val="0"/>
          <w:sz w:val="20"/>
        </w:rPr>
        <w:t xml:space="preserve">Healthcare domain: </w:t>
      </w:r>
      <w:r>
        <w:rPr>
          <w:rFonts w:ascii="Arial" w:hAnsi="Arial"/>
          <w:b w:val="0"/>
          <w:i w:val="0"/>
          <w:sz w:val="20"/>
        </w:rPr>
        <w:t>Practicing physician · eHealth / ЕСОЗ (daily) · ICPC-2 · ICD-10 · LOINC · PHC quality indicators · Form 027/o · MoH order #504 · TB regulatory framework · pre-trip medical screening · NSZU reporting</w:t>
      </w:r>
    </w:p>
    <w:p>
      <w:pPr>
        <w:spacing w:after="60"/>
      </w:pPr>
      <w:r>
        <w:rPr>
          <w:rFonts w:ascii="Arial" w:hAnsi="Arial"/>
          <w:b/>
          <w:i w:val="0"/>
          <w:sz w:val="20"/>
        </w:rPr>
        <w:t xml:space="preserve">Business analysis / product: </w:t>
      </w:r>
      <w:r>
        <w:rPr>
          <w:rFonts w:ascii="Arial" w:hAnsi="Arial"/>
          <w:b w:val="0"/>
          <w:i w:val="0"/>
          <w:sz w:val="20"/>
        </w:rPr>
        <w:t>Requirements elicitation · discovery · user stories · use cases · acceptance criteria · BPMN process modeling · functional specs · rule engines · schema design · adoption metrics · cohort comparison (natural-experiment) · multi-tenant permission models · end-to-end product ownership</w:t>
      </w:r>
    </w:p>
    <w:p>
      <w:pPr>
        <w:spacing w:after="60"/>
      </w:pPr>
      <w:r>
        <w:rPr>
          <w:rFonts w:ascii="Arial" w:hAnsi="Arial"/>
          <w:b/>
          <w:i w:val="0"/>
          <w:sz w:val="20"/>
        </w:rPr>
        <w:t xml:space="preserve">AI-assisted building: </w:t>
      </w:r>
      <w:r>
        <w:rPr>
          <w:rFonts w:ascii="Arial" w:hAnsi="Arial"/>
          <w:b w:val="0"/>
          <w:i w:val="0"/>
          <w:sz w:val="20"/>
        </w:rPr>
        <w:t>Ship production software through AI — own the decisions, AI implements · effective prompting · rapid prototyping</w:t>
      </w:r>
    </w:p>
    <w:p>
      <w:pPr>
        <w:spacing w:after="60"/>
      </w:pPr>
      <w:r>
        <w:rPr>
          <w:rFonts w:ascii="Arial" w:hAnsi="Arial"/>
          <w:b/>
          <w:i w:val="0"/>
          <w:sz w:val="20"/>
        </w:rPr>
        <w:t xml:space="preserve">Stack: </w:t>
      </w:r>
      <w:r>
        <w:rPr>
          <w:rFonts w:ascii="Arial" w:hAnsi="Arial"/>
          <w:b w:val="0"/>
          <w:i w:val="0"/>
          <w:sz w:val="20"/>
        </w:rPr>
        <w:t>JavaScript / TypeScript · React · Next.js · Node.js · Python / FastAPI · PostgreSQL / Supabase · Chrome Extension MV3 · Electron · Vercel</w:t>
      </w:r>
    </w:p>
    <w:p>
      <w:pPr>
        <w:spacing w:after="60"/>
      </w:pPr>
      <w:r>
        <w:rPr>
          <w:rFonts w:ascii="Arial" w:hAnsi="Arial"/>
          <w:b/>
          <w:i w:val="0"/>
          <w:sz w:val="20"/>
        </w:rPr>
        <w:t xml:space="preserve">Integrations &amp; infra: </w:t>
      </w:r>
      <w:r>
        <w:rPr>
          <w:rFonts w:ascii="Arial" w:hAnsi="Arial"/>
          <w:b w:val="0"/>
          <w:i w:val="0"/>
          <w:sz w:val="20"/>
        </w:rPr>
        <w:t>Supabase · Vercel · Gemini · OpenAI · Brevo · Resend · reCAPTCHA · serialport (USB) · WeasyPrint · pyHanko · JWT · AES-256-GCM</w:t>
      </w:r>
    </w:p>
    <w:p>
      <w:pPr>
        <w:spacing w:after="60"/>
      </w:pPr>
      <w:r>
        <w:rPr>
          <w:rFonts w:ascii="Arial" w:hAnsi="Arial"/>
          <w:b/>
          <w:i w:val="0"/>
          <w:sz w:val="20"/>
        </w:rPr>
        <w:t xml:space="preserve">Tools &amp; automation: </w:t>
      </w:r>
      <w:r>
        <w:rPr>
          <w:rFonts w:ascii="Arial" w:hAnsi="Arial"/>
          <w:b w:val="0"/>
          <w:i w:val="0"/>
          <w:sz w:val="20"/>
        </w:rPr>
        <w:t>Jira (basic) · Asana · Clay · Apollo · LinkedHelper · HubSpot · Pipedrive · n8n / Make-style pipelines</w:t>
      </w:r>
    </w:p>
    <w:p>
      <w:pPr>
        <w:spacing w:before="180" w:after="70"/>
        <w:pBdr>
          <w:bottom w:val="single" w:sz="6" w:space="2" w:color="1F3864"/>
        </w:pBdr>
      </w:pPr>
      <w:r>
        <w:rPr>
          <w:rFonts w:ascii="Arial" w:hAnsi="Arial"/>
          <w:b/>
          <w:i w:val="0"/>
          <w:color w:val="1F3864"/>
          <w:sz w:val="23"/>
        </w:rPr>
        <w:t>EDUCATION &amp; CERTIFICATIONS</w:t>
      </w:r>
    </w:p>
    <w:p>
      <w:pPr>
        <w:spacing w:after="60" w:before="0"/>
      </w:pPr>
      <w:r>
        <w:rPr>
          <w:rFonts w:ascii="Arial" w:hAnsi="Arial"/>
          <w:b/>
          <w:i w:val="0"/>
          <w:sz w:val="20"/>
        </w:rPr>
        <w:t>Master of Medicine, General Medicine</w:t>
      </w:r>
      <w:r>
        <w:rPr>
          <w:rFonts w:ascii="Arial" w:hAnsi="Arial"/>
          <w:b w:val="0"/>
          <w:i w:val="0"/>
          <w:sz w:val="20"/>
        </w:rPr>
        <w:t xml:space="preserve"> — Vinnytsia National Pirogov Memorial Medical University (2016–2022); Family Medicine Internship (2022–2024).</w:t>
      </w:r>
    </w:p>
    <w:p>
      <w:pPr>
        <w:spacing w:after="60" w:before="0"/>
      </w:pPr>
      <w:r>
        <w:rPr>
          <w:rFonts w:ascii="Arial" w:hAnsi="Arial"/>
          <w:b w:val="0"/>
          <w:i w:val="0"/>
          <w:sz w:val="20"/>
        </w:rPr>
        <w:t>EF SET English — C2 Proficient · Google Project Management Foundations (2022) · Google Data Management Foundations (2025) · HubSpot Inbound Sales (2023) · SEMrush SEO Foundations (2024).</w:t>
      </w:r>
    </w:p>
    <w:p>
      <w:pPr>
        <w:spacing w:after="60" w:before="0"/>
      </w:pPr>
      <w:r>
        <w:rPr>
          <w:rFonts w:ascii="Arial" w:hAnsi="Arial"/>
          <w:b/>
          <w:i w:val="0"/>
          <w:sz w:val="20"/>
        </w:rPr>
        <w:t xml:space="preserve">Languages: </w:t>
      </w:r>
      <w:r>
        <w:rPr>
          <w:rFonts w:ascii="Arial" w:hAnsi="Arial"/>
          <w:b w:val="0"/>
          <w:i w:val="0"/>
          <w:sz w:val="20"/>
        </w:rPr>
        <w:t>Ukrainian — native · English — C2 (EF SET; 4+ years of B2B communication with US/EU clients).</w:t>
      </w:r>
    </w:p>
    <w:sectPr w:rsidR="00FC693F" w:rsidRPr="0006063C" w:rsidSect="00034616">
      <w:pgSz w:w="12240" w:h="15840"/>
      <w:pgMar w:top="864" w:right="1080" w:bottom="86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eugene.syro.builds@gmail.com" TargetMode="External"/><Relationship Id="rId10" Type="http://schemas.openxmlformats.org/officeDocument/2006/relationships/hyperlink" Target="https://www.eugene-syro-builds.online" TargetMode="External"/><Relationship Id="rId11" Type="http://schemas.openxmlformats.org/officeDocument/2006/relationships/hyperlink" Target="https://www.linkedin.com/in/eugene-siromyatnik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